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D" w:rsidRPr="003902DD" w:rsidRDefault="003902DD" w:rsidP="003902DD">
      <w:r w:rsidRPr="001A7187">
        <w:rPr>
          <w:b/>
          <w:u w:val="single"/>
        </w:rPr>
        <w:t>Технологическое присоединение</w:t>
      </w:r>
      <w:r w:rsidRPr="003902DD">
        <w:t xml:space="preserve"> -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(энергопринимающих устройств) заявителей к объектам сетевого хозяйства. </w:t>
      </w:r>
      <w:r w:rsidR="001A7187">
        <w:t xml:space="preserve">        </w:t>
      </w:r>
      <w:r w:rsidRPr="003902DD">
        <w:t xml:space="preserve"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электроэнергией. 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случае необходимости изменения категории надежности электроснабжения. </w:t>
      </w:r>
    </w:p>
    <w:p w:rsidR="003902DD" w:rsidRDefault="003902DD" w:rsidP="003902DD"/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Правила технологического присоединения, утвержденные Постановлением Правительства РФ от Постановление Правительства РФ от 27.12.2004 № 861 (в ред. 31.07.2014) </w:t>
      </w:r>
    </w:p>
    <w:p w:rsidR="00CF3199" w:rsidRDefault="007E36DC" w:rsidP="00CF3199">
      <w:pPr>
        <w:numPr>
          <w:ilvl w:val="0"/>
          <w:numId w:val="1"/>
        </w:numPr>
        <w:outlineLvl w:val="0"/>
      </w:pPr>
      <w:r w:rsidRPr="003902DD">
        <w:t xml:space="preserve"> Федеральный закон № 35-ФЗ от 26 марта 2003г. Об электроэнергетике</w:t>
      </w:r>
      <w:bookmarkStart w:id="0" w:name="_GoBack"/>
      <w:bookmarkEnd w:id="0"/>
    </w:p>
    <w:p w:rsidR="00CF3199" w:rsidRPr="00CF3199" w:rsidRDefault="00CF3199" w:rsidP="00CF3199">
      <w:pPr>
        <w:numPr>
          <w:ilvl w:val="0"/>
          <w:numId w:val="1"/>
        </w:numPr>
        <w:outlineLvl w:val="0"/>
      </w:pPr>
      <w:r w:rsidRPr="00CF3199">
        <w:t>ПРАВИТЕЛЬСТВО РОССИЙСКОЙ ФЕДЕРАЦИИ ПОСТАНОВЛЕНИЕ от 4 мая 2012 г. N 442 О функционировании розничных рынков электрической энергии, полном и (или) частичном ограничении режима потребления электрической энергии</w:t>
      </w:r>
    </w:p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 Единые стандарты качества обслуживания сетевыми организациями потребителей услуг сетевых организаций  Земельный кодекс Российской Федерации от 25.10.2001 № 136-ФЗ, статья 89 «Земли  энергетики»</w:t>
      </w:r>
    </w:p>
    <w:p w:rsidR="00CF3199" w:rsidRDefault="007E36DC" w:rsidP="003902DD">
      <w:pPr>
        <w:numPr>
          <w:ilvl w:val="0"/>
          <w:numId w:val="1"/>
        </w:numPr>
      </w:pPr>
      <w:r w:rsidRPr="003902DD">
        <w:t xml:space="preserve"> Кодекс Российской Федерации об административных правонарушениях от 30.12.2001 N 195-ФЗ, </w:t>
      </w:r>
    </w:p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Градостроительный кодекс РФ </w:t>
      </w:r>
    </w:p>
    <w:p w:rsidR="00F1670B" w:rsidRDefault="007E36DC" w:rsidP="003902DD">
      <w:pPr>
        <w:numPr>
          <w:ilvl w:val="0"/>
          <w:numId w:val="1"/>
        </w:numPr>
      </w:pPr>
      <w:r w:rsidRPr="003902DD">
        <w:t xml:space="preserve"> Постановление Правительства РФ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от 13.02.2006 № 83 </w:t>
      </w:r>
    </w:p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 Постановление Правительства РФ «Об инвестиционных программах субъектов электроэнергетики» от 01.12.2009 № 977 </w:t>
      </w:r>
    </w:p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 Постановление Правительства РФ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от 11.08.2003 № 486</w:t>
      </w:r>
    </w:p>
    <w:p w:rsidR="001455FD" w:rsidRPr="003902DD" w:rsidRDefault="007E36DC" w:rsidP="003902DD">
      <w:pPr>
        <w:numPr>
          <w:ilvl w:val="0"/>
          <w:numId w:val="1"/>
        </w:numPr>
      </w:pPr>
      <w:r w:rsidRPr="003902DD">
        <w:t xml:space="preserve"> Постановление Правительства РФ «Об утверждении стандартов раскрытия информации субъектами оптового и розничных рынков электрической энергии» от 21.01.2004 № 24 </w:t>
      </w:r>
    </w:p>
    <w:p w:rsidR="00E0758C" w:rsidRDefault="00E0758C" w:rsidP="00E0758C">
      <w:pPr>
        <w:ind w:left="720"/>
        <w:rPr>
          <w:b/>
          <w:bCs/>
        </w:rPr>
      </w:pPr>
      <w:r w:rsidRPr="00E0758C">
        <w:rPr>
          <w:b/>
          <w:bCs/>
        </w:rPr>
        <w:t>Действие Правил технологического присоединения распространяется на случаи:</w:t>
      </w:r>
    </w:p>
    <w:p w:rsidR="000C07CB" w:rsidRPr="000C07CB" w:rsidRDefault="000C07CB" w:rsidP="000C07CB">
      <w:pPr>
        <w:ind w:left="720"/>
      </w:pPr>
      <w:r w:rsidRPr="000C07CB">
        <w:t>1. Присоединения впервые вводимых в эксплуатацию;</w:t>
      </w:r>
    </w:p>
    <w:p w:rsidR="000C07CB" w:rsidRPr="000C07CB" w:rsidRDefault="000C07CB" w:rsidP="000C07CB">
      <w:pPr>
        <w:ind w:left="720"/>
      </w:pPr>
      <w:r w:rsidRPr="000C07CB">
        <w:t>2. Ранее присоединенных реконструируемых энергопринимающих устройств, присоединенная мощность которых увеличивается;</w:t>
      </w:r>
    </w:p>
    <w:p w:rsidR="000C07CB" w:rsidRPr="000C07CB" w:rsidRDefault="000C07CB" w:rsidP="000C07CB">
      <w:pPr>
        <w:ind w:left="720"/>
      </w:pPr>
      <w:r w:rsidRPr="000C07CB">
        <w:t>3. Ранее присоединенных энергопринимающих устройств у которых изменяются:</w:t>
      </w:r>
    </w:p>
    <w:p w:rsidR="001455FD" w:rsidRPr="000C07CB" w:rsidRDefault="007E36DC" w:rsidP="000C07CB">
      <w:pPr>
        <w:numPr>
          <w:ilvl w:val="0"/>
          <w:numId w:val="2"/>
        </w:numPr>
      </w:pPr>
      <w:r w:rsidRPr="000C07CB">
        <w:lastRenderedPageBreak/>
        <w:t xml:space="preserve">категория надежности электроснабжения; </w:t>
      </w:r>
    </w:p>
    <w:p w:rsidR="001455FD" w:rsidRPr="000C07CB" w:rsidRDefault="007E36DC" w:rsidP="000C07CB">
      <w:pPr>
        <w:numPr>
          <w:ilvl w:val="0"/>
          <w:numId w:val="2"/>
        </w:numPr>
      </w:pPr>
      <w:r w:rsidRPr="000C07CB">
        <w:t xml:space="preserve">точки присоединения; </w:t>
      </w:r>
    </w:p>
    <w:p w:rsidR="001455FD" w:rsidRPr="000C07CB" w:rsidRDefault="007E36DC" w:rsidP="000C07CB">
      <w:pPr>
        <w:numPr>
          <w:ilvl w:val="0"/>
          <w:numId w:val="2"/>
        </w:numPr>
      </w:pPr>
      <w:r w:rsidRPr="000C07CB">
        <w:t xml:space="preserve">виды производственной деятельности, не влекущие пересмотр величины присоединенной мощности, но изменяющие схему внешнего электроснабжения таких энергопринимающих устройств. </w:t>
      </w:r>
    </w:p>
    <w:p w:rsidR="000C07CB" w:rsidRDefault="000C07CB" w:rsidP="000C07CB">
      <w:pPr>
        <w:ind w:left="720"/>
        <w:rPr>
          <w:b/>
          <w:bCs/>
        </w:rPr>
      </w:pPr>
      <w:r w:rsidRPr="000C07CB">
        <w:rPr>
          <w:b/>
          <w:bCs/>
        </w:rPr>
        <w:t>Характер осуществления технологического присоединения</w:t>
      </w:r>
    </w:p>
    <w:p w:rsidR="001455FD" w:rsidRPr="000C07CB" w:rsidRDefault="007E36DC" w:rsidP="000C07CB">
      <w:pPr>
        <w:numPr>
          <w:ilvl w:val="0"/>
          <w:numId w:val="3"/>
        </w:numPr>
      </w:pPr>
      <w:r w:rsidRPr="000C07CB">
        <w:t xml:space="preserve">Технологическое присоединение носит однократный характер. </w:t>
      </w:r>
    </w:p>
    <w:p w:rsidR="001455FD" w:rsidRPr="000C07CB" w:rsidRDefault="007E36DC" w:rsidP="000C07CB">
      <w:pPr>
        <w:numPr>
          <w:ilvl w:val="0"/>
          <w:numId w:val="3"/>
        </w:numPr>
      </w:pPr>
      <w:r w:rsidRPr="000C07CB">
        <w:t>Срок действия технических условий не может составлять менее 2 лет и более 4 лет.</w:t>
      </w:r>
    </w:p>
    <w:p w:rsidR="001455FD" w:rsidRPr="000C07CB" w:rsidRDefault="007E36DC" w:rsidP="000C07CB">
      <w:pPr>
        <w:numPr>
          <w:ilvl w:val="0"/>
          <w:numId w:val="3"/>
        </w:numPr>
      </w:pPr>
      <w:r w:rsidRPr="000C07CB">
        <w:t xml:space="preserve">Технологическое присоединение производится на основании договора об осуществлении Технологическое присоединение. </w:t>
      </w:r>
    </w:p>
    <w:p w:rsidR="000C07CB" w:rsidRPr="000C07CB" w:rsidRDefault="000C07CB" w:rsidP="000C07CB">
      <w:pPr>
        <w:ind w:left="720"/>
      </w:pPr>
      <w:r w:rsidRPr="000C07CB">
        <w:rPr>
          <w:b/>
          <w:bCs/>
        </w:rPr>
        <w:t>Договор об осуществлении технологического присоединения:</w:t>
      </w:r>
    </w:p>
    <w:p w:rsidR="000C07CB" w:rsidRPr="000C07CB" w:rsidRDefault="000C07CB" w:rsidP="000C07CB">
      <w:pPr>
        <w:ind w:left="720"/>
      </w:pPr>
      <w:r w:rsidRPr="000C07CB">
        <w:rPr>
          <w:i/>
          <w:iCs/>
        </w:rPr>
        <w:t xml:space="preserve"> - Является </w:t>
      </w:r>
      <w:r w:rsidRPr="000C07CB">
        <w:rPr>
          <w:b/>
          <w:bCs/>
        </w:rPr>
        <w:t>публичным;</w:t>
      </w:r>
    </w:p>
    <w:p w:rsidR="000C07CB" w:rsidRPr="000C07CB" w:rsidRDefault="000C07CB" w:rsidP="000C07CB">
      <w:pPr>
        <w:ind w:left="720"/>
      </w:pPr>
      <w:r w:rsidRPr="000C07CB">
        <w:rPr>
          <w:b/>
          <w:bCs/>
        </w:rPr>
        <w:t xml:space="preserve">- </w:t>
      </w:r>
      <w:r w:rsidRPr="000C07CB">
        <w:rPr>
          <w:i/>
          <w:iCs/>
        </w:rPr>
        <w:t xml:space="preserve"> Классифицируется как договор</w:t>
      </w:r>
      <w:r w:rsidRPr="000C07CB">
        <w:t xml:space="preserve"> </w:t>
      </w:r>
      <w:r w:rsidRPr="000C07CB">
        <w:rPr>
          <w:b/>
          <w:bCs/>
        </w:rPr>
        <w:t>возмездного оказания услуг;</w:t>
      </w:r>
    </w:p>
    <w:p w:rsidR="000C07CB" w:rsidRPr="000C07CB" w:rsidRDefault="000C07CB" w:rsidP="000C07CB">
      <w:pPr>
        <w:ind w:left="720"/>
      </w:pPr>
      <w:r w:rsidRPr="000C07CB">
        <w:rPr>
          <w:i/>
          <w:iCs/>
        </w:rPr>
        <w:t>- Заключается</w:t>
      </w:r>
      <w:r w:rsidRPr="000C07CB">
        <w:t xml:space="preserve"> </w:t>
      </w:r>
      <w:r w:rsidRPr="000C07CB">
        <w:rPr>
          <w:b/>
          <w:bCs/>
        </w:rPr>
        <w:t xml:space="preserve">между сетевой организацией и </w:t>
      </w:r>
      <w:r w:rsidRPr="000C07CB">
        <w:rPr>
          <w:i/>
          <w:iCs/>
        </w:rPr>
        <w:t>обратившимся к ней лицом</w:t>
      </w:r>
      <w:r w:rsidRPr="000C07CB">
        <w:t xml:space="preserve"> (</w:t>
      </w:r>
      <w:r w:rsidRPr="000C07CB">
        <w:rPr>
          <w:b/>
          <w:bCs/>
        </w:rPr>
        <w:t>заявителем</w:t>
      </w:r>
      <w:r w:rsidRPr="000C07CB">
        <w:t>).</w:t>
      </w:r>
    </w:p>
    <w:p w:rsidR="000C07CB" w:rsidRPr="0029594D" w:rsidRDefault="004F0C42" w:rsidP="000C07CB">
      <w:pPr>
        <w:ind w:left="720"/>
        <w:rPr>
          <w:color w:val="4F81BD" w:themeColor="accent1"/>
        </w:rPr>
      </w:pPr>
      <w:r w:rsidRPr="0029594D">
        <w:rPr>
          <w:color w:val="4F81BD" w:themeColor="accent1"/>
        </w:rPr>
        <w:t>Типовые формы договоров:</w:t>
      </w:r>
    </w:p>
    <w:p w:rsidR="00D223F2" w:rsidRPr="00BB57ED" w:rsidRDefault="004F0C42" w:rsidP="00D223F2">
      <w:pPr>
        <w:pStyle w:val="ConsPlusNormal"/>
        <w:jc w:val="center"/>
        <w:rPr>
          <w:color w:val="4F81BD" w:themeColor="accent1"/>
        </w:rPr>
      </w:pPr>
      <w:r w:rsidRPr="0029594D">
        <w:rPr>
          <w:color w:val="4F81BD" w:themeColor="accent1"/>
        </w:rPr>
        <w:t>1.</w:t>
      </w:r>
      <w:r w:rsidR="00D223F2" w:rsidRPr="00D223F2">
        <w:t xml:space="preserve"> </w:t>
      </w:r>
      <w:r w:rsidR="00D223F2" w:rsidRPr="00BB57ED">
        <w:rPr>
          <w:color w:val="4F81BD" w:themeColor="accent1"/>
        </w:rPr>
        <w:t>ТИПОВОЙ ДОГОВОР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об осуществлении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(для физических лиц в целях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технологического присоединения энергопринимающих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устройств, максимальная мощность которых составляет до 15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кВт включительно (с учетом ранее присоединенных в данной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точке присоединения энергопринимающих устройств) и которые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используются для бытовых и иных нужд, не связанных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с осуществлением предпринимательской деятельности)</w:t>
      </w:r>
    </w:p>
    <w:p w:rsidR="004F0C42" w:rsidRPr="00BB57ED" w:rsidRDefault="004F0C42" w:rsidP="000C07CB">
      <w:pPr>
        <w:ind w:left="720"/>
        <w:rPr>
          <w:color w:val="4F81BD" w:themeColor="accent1"/>
        </w:rPr>
      </w:pPr>
    </w:p>
    <w:p w:rsidR="00D223F2" w:rsidRPr="00BB57ED" w:rsidRDefault="004F0C4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2.</w:t>
      </w:r>
      <w:r w:rsidR="00D223F2" w:rsidRPr="00BB57ED">
        <w:rPr>
          <w:color w:val="4F81BD" w:themeColor="accent1"/>
        </w:rPr>
        <w:t xml:space="preserve"> ТИПОВОЙ ДОГОВОР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об осуществлении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(для юридических лиц или индивидуальных предпринимателей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в целях технологического присоединения энергопринимающих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устройств, максимальная мощность которых составляет до 15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кВт включительно (с учетом ранее присоединенных в данной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точке присоединения энергопринимающих устройств)</w:t>
      </w:r>
    </w:p>
    <w:p w:rsidR="004F0C42" w:rsidRPr="00BB57ED" w:rsidRDefault="004F0C42" w:rsidP="000C07CB">
      <w:pPr>
        <w:ind w:left="720"/>
        <w:rPr>
          <w:color w:val="4F81BD" w:themeColor="accent1"/>
        </w:rPr>
      </w:pPr>
    </w:p>
    <w:p w:rsidR="00D223F2" w:rsidRPr="00BB57ED" w:rsidRDefault="004F0C4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3.</w:t>
      </w:r>
      <w:r w:rsidR="00D223F2" w:rsidRPr="00BB57ED">
        <w:rPr>
          <w:color w:val="4F81BD" w:themeColor="accent1"/>
        </w:rPr>
        <w:t xml:space="preserve"> ТИПОВОЙ ДОГОВОР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об осуществлении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(для юридических лиц или индивидуальных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предпринимателей в целях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энергопринимающих устройств, максимальная мощность которых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составляет свыше 15 до 150 кВт включительно (с учетом ранее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присоединенных в данной точке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энергопринимающих устройств)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4F0C42" w:rsidRPr="00BB57ED" w:rsidRDefault="004F0C42" w:rsidP="000C07CB">
      <w:pPr>
        <w:ind w:left="720"/>
        <w:rPr>
          <w:color w:val="4F81BD" w:themeColor="accent1"/>
        </w:rPr>
      </w:pPr>
    </w:p>
    <w:p w:rsidR="00D223F2" w:rsidRPr="00BB57ED" w:rsidRDefault="004F0C4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4.</w:t>
      </w:r>
      <w:r w:rsidR="00D223F2" w:rsidRPr="00BB57ED">
        <w:rPr>
          <w:color w:val="4F81BD" w:themeColor="accent1"/>
        </w:rPr>
        <w:t xml:space="preserve"> ТИПОВОЙ ДОГОВОР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об осуществлении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(для юридических лиц или индивидуальных предпринимателей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в целях технологического присоединения энергопринимающих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устройств, максимальная мощность которых свыше 150 кВт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и менее 670 кВт (за исключением случаев, указанных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в приложениях N 9 и 10, а также осуществления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по индивидуальному проекту)</w:t>
      </w:r>
    </w:p>
    <w:p w:rsidR="004F0C42" w:rsidRPr="00BB57ED" w:rsidRDefault="004F0C42" w:rsidP="000C07CB">
      <w:pPr>
        <w:ind w:left="720"/>
        <w:rPr>
          <w:color w:val="4F81BD" w:themeColor="accent1"/>
        </w:rPr>
      </w:pPr>
    </w:p>
    <w:p w:rsidR="00D223F2" w:rsidRPr="00BB57ED" w:rsidRDefault="004F0C4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5.</w:t>
      </w:r>
      <w:r w:rsidR="00D223F2" w:rsidRPr="00BB57ED">
        <w:rPr>
          <w:color w:val="4F81BD" w:themeColor="accent1"/>
        </w:rPr>
        <w:t xml:space="preserve"> ТИПОВОЙ ДОГОВОР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об осуществлении технологического присоединения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 посредством перераспределения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максимальной мощности</w:t>
      </w:r>
    </w:p>
    <w:p w:rsidR="00D223F2" w:rsidRPr="00BB57ED" w:rsidRDefault="00D223F2" w:rsidP="00D223F2">
      <w:pPr>
        <w:pStyle w:val="ConsPlusNormal"/>
        <w:jc w:val="both"/>
        <w:rPr>
          <w:color w:val="4F81BD" w:themeColor="accent1"/>
        </w:rPr>
      </w:pP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(для заявителей, заключивших соглашение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о перераспределении максимальной мощности с владельцами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энергопринимающих устройств (за исключением лиц,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указанных в пункте 12(1) Правил технологического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присоединения энергопринимающих устройств потребителей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электрической энергии, объектов по производству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электрической энергии, а также объектов электросетевого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хозяйства, принадлежащих сетевым организациям и иным лицам,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к электрическим сетям, максимальная мощность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энергопринимающих устройств которых составляет до 15 кВт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включительно, лиц, указанных в пунктах 13 и 14 указанных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Правил, лиц, присоединенных к объектам единой национальной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(общероссийской) электрической сети, а также лиц,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не внесших плату за технологическое присоединение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либо внесших плату за технологическое присоединение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не в полном объеме), имеющими на праве собственности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или на ином законном основании энергопринимающие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устройства, в отношении которых до 1 января 2009 г.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в установленном порядке было осуществлено фактическое</w:t>
      </w:r>
    </w:p>
    <w:p w:rsidR="00D223F2" w:rsidRPr="00BB57ED" w:rsidRDefault="00D223F2" w:rsidP="00D223F2">
      <w:pPr>
        <w:pStyle w:val="ConsPlusNormal"/>
        <w:jc w:val="center"/>
        <w:rPr>
          <w:color w:val="4F81BD" w:themeColor="accent1"/>
        </w:rPr>
      </w:pPr>
      <w:r w:rsidRPr="00BB57ED">
        <w:rPr>
          <w:color w:val="4F81BD" w:themeColor="accent1"/>
        </w:rPr>
        <w:t>технологическое присоединение к электрическим сетям)</w:t>
      </w:r>
    </w:p>
    <w:p w:rsidR="004F0C42" w:rsidRPr="0029594D" w:rsidRDefault="004F0C42" w:rsidP="000C07CB">
      <w:pPr>
        <w:ind w:left="720"/>
        <w:rPr>
          <w:color w:val="4F81BD" w:themeColor="accent1"/>
        </w:rPr>
      </w:pPr>
    </w:p>
    <w:p w:rsidR="004F0C42" w:rsidRPr="000C07CB" w:rsidRDefault="004F0C42" w:rsidP="000C07CB">
      <w:pPr>
        <w:ind w:left="720"/>
      </w:pPr>
    </w:p>
    <w:p w:rsidR="000C07CB" w:rsidRPr="00E0758C" w:rsidRDefault="000C07CB" w:rsidP="00E0758C">
      <w:pPr>
        <w:ind w:left="720"/>
      </w:pPr>
    </w:p>
    <w:p w:rsidR="00F923B9" w:rsidRDefault="00F923B9"/>
    <w:sectPr w:rsidR="00F923B9" w:rsidSect="003902DD">
      <w:pgSz w:w="11906" w:h="16838"/>
      <w:pgMar w:top="6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65" w:rsidRDefault="00830E65" w:rsidP="003902DD">
      <w:pPr>
        <w:spacing w:after="0" w:line="240" w:lineRule="auto"/>
      </w:pPr>
      <w:r>
        <w:separator/>
      </w:r>
    </w:p>
  </w:endnote>
  <w:endnote w:type="continuationSeparator" w:id="0">
    <w:p w:rsidR="00830E65" w:rsidRDefault="00830E65" w:rsidP="0039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65" w:rsidRDefault="00830E65" w:rsidP="003902DD">
      <w:pPr>
        <w:spacing w:after="0" w:line="240" w:lineRule="auto"/>
      </w:pPr>
      <w:r>
        <w:separator/>
      </w:r>
    </w:p>
  </w:footnote>
  <w:footnote w:type="continuationSeparator" w:id="0">
    <w:p w:rsidR="00830E65" w:rsidRDefault="00830E65" w:rsidP="0039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9D2"/>
    <w:multiLevelType w:val="hybridMultilevel"/>
    <w:tmpl w:val="02B2BE8E"/>
    <w:lvl w:ilvl="0" w:tplc="0852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2A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F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40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02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0A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E7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D8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3C4093"/>
    <w:multiLevelType w:val="hybridMultilevel"/>
    <w:tmpl w:val="E1CCFB46"/>
    <w:lvl w:ilvl="0" w:tplc="619E3E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21D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44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4F8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4AC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6A7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E0C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23F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C0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217709"/>
    <w:multiLevelType w:val="hybridMultilevel"/>
    <w:tmpl w:val="B9FA3472"/>
    <w:lvl w:ilvl="0" w:tplc="6AA49F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91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0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64A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0C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43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884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AA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8B5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DD"/>
    <w:rsid w:val="000632A4"/>
    <w:rsid w:val="000C07CB"/>
    <w:rsid w:val="001455FD"/>
    <w:rsid w:val="001A7187"/>
    <w:rsid w:val="0029594D"/>
    <w:rsid w:val="003902DD"/>
    <w:rsid w:val="004F0C42"/>
    <w:rsid w:val="007E36DC"/>
    <w:rsid w:val="00830E65"/>
    <w:rsid w:val="00A07944"/>
    <w:rsid w:val="00BB57ED"/>
    <w:rsid w:val="00CD1808"/>
    <w:rsid w:val="00CF3199"/>
    <w:rsid w:val="00D223F2"/>
    <w:rsid w:val="00E0758C"/>
    <w:rsid w:val="00F1670B"/>
    <w:rsid w:val="00F9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2DD"/>
  </w:style>
  <w:style w:type="paragraph" w:styleId="a5">
    <w:name w:val="footer"/>
    <w:basedOn w:val="a"/>
    <w:link w:val="a6"/>
    <w:uiPriority w:val="99"/>
    <w:semiHidden/>
    <w:unhideWhenUsed/>
    <w:rsid w:val="0039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2DD"/>
  </w:style>
  <w:style w:type="paragraph" w:styleId="a7">
    <w:name w:val="List Paragraph"/>
    <w:basedOn w:val="a"/>
    <w:uiPriority w:val="34"/>
    <w:qFormat/>
    <w:rsid w:val="00E0758C"/>
    <w:pPr>
      <w:ind w:left="720"/>
      <w:contextualSpacing/>
    </w:pPr>
  </w:style>
  <w:style w:type="paragraph" w:customStyle="1" w:styleId="ConsPlusNormal">
    <w:name w:val="ConsPlusNormal"/>
    <w:rsid w:val="00D2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36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7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371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9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5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0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11</cp:revision>
  <dcterms:created xsi:type="dcterms:W3CDTF">2015-11-25T01:11:00Z</dcterms:created>
  <dcterms:modified xsi:type="dcterms:W3CDTF">2015-11-26T04:43:00Z</dcterms:modified>
</cp:coreProperties>
</file>